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26-309</w:t>
      </w:r>
    </w:p>
    <w:p>
      <w:pPr>
        <w:spacing w:before="0" w:after="0" w:line="480"/>
        <w:ind w:left="120"/>
        <w:jc w:val="left"/>
      </w:pPr>
    </w:p>
    <w:p>
      <w:pPr>
        <w:spacing w:before="0" w:after="0" w:line="480"/>
        <w:ind w:left="120"/>
        <w:jc w:val="center"/>
      </w:pPr>
      <w:r>
        <w:rPr>
          <w:rFonts w:ascii="Times New Roman" w:hAnsi="Times New Roman"/>
          <w:b/>
          <w:i w:val="false"/>
          <w:color w:val="000000"/>
          <w:sz w:val="28"/>
        </w:rPr>
        <w:t>COLLEGE STUDENT AID COMMISSION[283]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283—Chapter 22</w:t>
      </w:r>
    </w:p>
    <w:p>
      <w:pPr>
        <w:spacing w:before="0" w:after="0" w:line="480"/>
        <w:ind w:left="120"/>
        <w:jc w:val="center"/>
      </w:pPr>
      <w:r>
        <w:rPr>
          <w:rFonts w:ascii="Times New Roman" w:hAnsi="Times New Roman"/>
          <w:b w:val="false"/>
          <w:i w:val="false"/>
          <w:color w:val="000000"/>
          <w:sz w:val="24"/>
        </w:rPr>
        <w:t>“Advanced Dyslexia Specialist Endorsement Grant”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256.178 and 256.146</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256.146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College Student Aid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Katrina Holck</w:t>
            </w:r>
            <w:r>
              <w:br/>
            </w:r>
            <w:r>
              <w:rPr>
                <w:rFonts w:ascii="Times New Roman" w:hAnsi="Times New Roman"/>
                <w:b w:val="false"/>
                <w:i w:val="false"/>
                <w:color w:val="000000"/>
                <w:sz w:val="14"/>
              </w:rPr>
              <w:t>Attorney 2</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515.729.7449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katrina.holck@iowa.gov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establishes administrative requirements for the Advanced Dyslexia Specialist Endorsement Grant Program administered by the Department of Education. The program provides grants to teachers licensed by the Board of Educational Examiners to offset costs associated with obtaining an Advanced Dyslexia Specialist Endorsement issued pursuant to Iowa Code section 256.146(21).</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is not expected to impose significant costs on persons subject to the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primary beneficiaries of the proposed rulemaking will be Iowa teachers licensed by the Board of Educational Examiners who are obtaining an Advanced Dyslexia Specialist Endorsement and who meet the eligibility requirements established by the Commission.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General Assembly appropriated $335,000 for the Advanced Dyslexia Specialist Endorsement Grant Program for FY 2027.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is expected to have a positive impact on teachers seeking an Advanced Dyslexia Specialist Endorsement by providing an opportunity to receive financial assistance toward the costs of obtaining the endorsement.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will incur administrative costs associated with implementing and administering the grant program.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 proposed rulemaking is not expected to have a direct effect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benefits of the proposed rulemaking outweigh the costs. The primary costs associated with the proposed rulemaking are the administrative costs incurred by the Commission to establish and administer the grant program and the minimal administrative burden placed on applicants to submit applications and documentation. The proposed rulemaking will provide a structure and consistent process for distributing the $335,000 appropriated for the program. </w:t>
      </w:r>
    </w:p>
    <w:p>
      <w:pPr>
        <w:spacing w:before="0" w:after="0" w:line="480"/>
        <w:ind w:left="120"/>
        <w:jc w:val="both"/>
      </w:pPr>
      <w:r>
        <w:rPr>
          <w:rFonts w:ascii="Times New Roman" w:hAnsi="Times New Roman"/>
          <w:b w:val="false"/>
          <w:i w:val="false"/>
          <w:color w:val="000000"/>
          <w:sz w:val="24"/>
        </w:rPr>
        <w:t xml:space="preserve">In the absence of the proposed rulemaking, the Commission would lack the detailed administrative framework necessary to implement the grant program consistently and efficiently.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Commission has determined that less costly or less intrusive methods are not reasonably available for achieving the purpose of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No other methods were seriously considered because the proposed approach is the most cost-efficient and minimizes potential confusion among Iowans.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alternative methods were rejected because they would lead to informational burdens on teachers and the Department of Education.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283—Chapter 22</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22</w:t>
      </w:r>
    </w:p>
    <w:p>
      <w:pPr>
        <w:spacing w:before="0" w:after="0" w:line="480"/>
        <w:ind w:left="120"/>
        <w:jc w:val="center"/>
      </w:pPr>
      <w:r>
        <w:rPr>
          <w:rFonts w:ascii="Times New Roman" w:hAnsi="Times New Roman"/>
          <w:b w:val="false"/>
          <w:i w:val="false"/>
          <w:color w:val="000000"/>
          <w:sz w:val="21"/>
        </w:rPr>
        <w:t>ADVANCED DYSLEXIA SPECIALIST ENDORSEMENT GRANT</w:t>
      </w:r>
    </w:p>
    <w:p>
      <w:pPr>
        <w:spacing w:before="210" w:after="0" w:line="480"/>
        <w:ind w:left="120"/>
        <w:jc w:val="both"/>
      </w:pPr>
      <w:r>
        <w:rPr>
          <w:rFonts w:ascii="Times New Roman" w:hAnsi="Times New Roman"/>
          <w:b/>
          <w:i w:val="false"/>
          <w:color w:val="000000"/>
          <w:sz w:val="24"/>
        </w:rPr>
        <w:t>283—22.1</w:t>
      </w:r>
      <w:r>
        <w:rPr>
          <w:rFonts w:ascii="Times New Roman" w:hAnsi="Times New Roman"/>
          <w:b/>
          <w:i w:val="false"/>
          <w:color w:val="000000"/>
          <w:sz w:val="24"/>
        </w:rPr>
        <w:t xml:space="preserve">(261) </w:t>
      </w:r>
      <w:r>
        <w:rPr>
          <w:rFonts w:ascii="Times New Roman" w:hAnsi="Times New Roman"/>
          <w:b/>
          <w:i w:val="false"/>
          <w:color w:val="000000"/>
          <w:sz w:val="24"/>
        </w:rPr>
        <w:t xml:space="preserve">Basis for aid. </w:t>
      </w:r>
      <w:r>
        <w:rPr>
          <w:rFonts w:ascii="Times New Roman" w:hAnsi="Times New Roman"/>
          <w:b w:val="false"/>
          <w:i w:val="false"/>
          <w:color w:val="000000"/>
          <w:sz w:val="24"/>
        </w:rPr>
        <w:t xml:space="preserve">Assistance to teachers licensed by the board of educational examiners is intended to offset the costs associated with obtaining an advanced dyslexia specialist endorsement issued by the board of educational examiners pursuant to Iowa Code section </w:t>
      </w:r>
      <w:hyperlink r:id="rId5">
        <w:r>
          <w:rPr>
            <w:rStyle w:val="Hyperlink"/>
            <w:rFonts w:ascii="Times New Roman" w:hAnsi="Times New Roman"/>
            <w:b w:val="false"/>
            <w:i w:val="false"/>
            <w:color w:val="000000"/>
            <w:sz w:val="24"/>
          </w:rPr>
          <w:t>256.146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283—22.2</w:t>
      </w:r>
      <w:r>
        <w:rPr>
          <w:rFonts w:ascii="Times New Roman" w:hAnsi="Times New Roman"/>
          <w:b/>
          <w:i w:val="false"/>
          <w:color w:val="000000"/>
          <w:sz w:val="24"/>
        </w:rPr>
        <w:t xml:space="preserve">(261)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institution”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institution of higher learning governed by the state board of regents or an accredited private institution as defined in Iowa Code section </w:t>
      </w:r>
      <w:hyperlink r:id="rId6">
        <w:r>
          <w:rPr>
            <w:rStyle w:val="Hyperlink"/>
            <w:rFonts w:ascii="Times New Roman" w:hAnsi="Times New Roman"/>
            <w:b w:val="false"/>
            <w:i w:val="false"/>
            <w:color w:val="000000"/>
            <w:sz w:val="24"/>
          </w:rPr>
          <w:t>256.183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program that results in the issuance of an advanced dyslexia specialist endorsement from the board of educational examiners pursuant to Iowa Code section </w:t>
      </w:r>
      <w:hyperlink r:id="rId7">
        <w:r>
          <w:rPr>
            <w:rStyle w:val="Hyperlink"/>
            <w:rFonts w:ascii="Times New Roman" w:hAnsi="Times New Roman"/>
            <w:b w:val="false"/>
            <w:i w:val="false"/>
            <w:color w:val="000000"/>
            <w:sz w:val="24"/>
          </w:rPr>
          <w:t>256.146(21)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resident”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8">
        <w:r>
          <w:rPr>
            <w:rStyle w:val="Hyperlink"/>
            <w:rFonts w:ascii="Times New Roman" w:hAnsi="Times New Roman"/>
            <w:b w:val="false"/>
            <w:i w:val="false"/>
            <w:color w:val="000000"/>
            <w:sz w:val="24"/>
          </w:rPr>
          <w:t>283—10.2</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“Semester”</w:t>
      </w:r>
      <w:r>
        <w:rPr>
          <w:rFonts w:ascii="Times New Roman" w:hAnsi="Times New Roman"/>
          <w:b w:val="false"/>
          <w:i/>
          <w:color w:val="000000"/>
          <w:sz w:val="24"/>
          <w:u w:val="single"/>
        </w:rPr>
        <w:t> </w:t>
      </w:r>
      <w:r>
        <w:rPr>
          <w:rFonts w:ascii="Times New Roman" w:hAnsi="Times New Roman"/>
          <w:b w:val="false"/>
          <w:i w:val="false"/>
          <w:color w:val="000000"/>
          <w:sz w:val="24"/>
        </w:rPr>
        <w:t>means the fall, spring, or summer term of enrollment at an eligible institution if the eligible institution is on a semester system or the equivalent if the institution is on a system other than a semester system.</w:t>
      </w:r>
    </w:p>
    <w:p>
      <w:pPr>
        <w:spacing w:before="210" w:after="0" w:line="480"/>
        <w:ind w:left="120"/>
        <w:jc w:val="both"/>
      </w:pPr>
      <w:r>
        <w:rPr>
          <w:rFonts w:ascii="Times New Roman" w:hAnsi="Times New Roman"/>
          <w:b/>
          <w:i w:val="false"/>
          <w:color w:val="000000"/>
          <w:sz w:val="24"/>
        </w:rPr>
        <w:t>283—22.3</w:t>
      </w:r>
      <w:r>
        <w:rPr>
          <w:rFonts w:ascii="Times New Roman" w:hAnsi="Times New Roman"/>
          <w:b/>
          <w:i w:val="false"/>
          <w:color w:val="000000"/>
          <w:sz w:val="24"/>
        </w:rPr>
        <w:t xml:space="preserve">(261) </w:t>
      </w:r>
      <w:r>
        <w:rPr>
          <w:rFonts w:ascii="Times New Roman" w:hAnsi="Times New Roman"/>
          <w:b/>
          <w:i w:val="false"/>
          <w:color w:val="000000"/>
          <w:sz w:val="24"/>
        </w:rPr>
        <w:t xml:space="preserve">Eligible applicant. </w:t>
      </w:r>
      <w:r>
        <w:rPr>
          <w:rFonts w:ascii="Times New Roman" w:hAnsi="Times New Roman"/>
          <w:b w:val="false"/>
          <w:i w:val="false"/>
          <w:color w:val="000000"/>
          <w:sz w:val="24"/>
        </w:rPr>
        <w:t>An eligible applicant is one who is enrolled in an approved program at an eligible institution and who completes the application process established by the department. Recipients must be a licensed teacher in Iowa with at least three years of teaching experience at a public or accredited nonpublic school.</w:t>
      </w:r>
    </w:p>
    <w:p>
      <w:pPr>
        <w:spacing w:before="0" w:after="0" w:line="480"/>
        <w:ind w:left="120"/>
        <w:jc w:val="both"/>
      </w:pPr>
      <w:r>
        <w:rPr>
          <w:rFonts w:ascii="Times New Roman" w:hAnsi="Times New Roman"/>
          <w:b/>
          <w:i w:val="false"/>
          <w:color w:val="000000"/>
          <w:sz w:val="24"/>
        </w:rPr>
        <w:t>283—22.4</w:t>
      </w:r>
      <w:r>
        <w:rPr>
          <w:rFonts w:ascii="Times New Roman" w:hAnsi="Times New Roman"/>
          <w:b/>
          <w:i w:val="false"/>
          <w:color w:val="000000"/>
          <w:sz w:val="24"/>
        </w:rPr>
        <w:t xml:space="preserve">(261) </w:t>
      </w:r>
      <w:r>
        <w:rPr>
          <w:rFonts w:ascii="Times New Roman" w:hAnsi="Times New Roman"/>
          <w:b/>
          <w:i w:val="false"/>
          <w:color w:val="000000"/>
          <w:sz w:val="24"/>
        </w:rPr>
        <w:t xml:space="preserve">Awarding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22.4(1)</w:t>
      </w:r>
      <w:r>
        <w:rPr>
          <w:rFonts w:ascii="Times New Roman" w:hAnsi="Times New Roman"/>
          <w:b w:val="false"/>
          <w:i w:val="false"/>
          <w:color w:val="000000"/>
          <w:sz w:val="24"/>
        </w:rPr>
        <w:t> </w:t>
      </w:r>
      <w:r>
        <w:rPr>
          <w:rFonts w:ascii="Times New Roman" w:hAnsi="Times New Roman"/>
          <w:b w:val="false"/>
          <w:i/>
          <w:color w:val="000000"/>
          <w:sz w:val="24"/>
        </w:rPr>
        <w:t xml:space="preserve">Selection criteria. </w:t>
      </w:r>
      <w:r>
        <w:rPr>
          <w:rFonts w:ascii="Times New Roman" w:hAnsi="Times New Roman"/>
          <w:b w:val="false"/>
          <w:i w:val="false"/>
          <w:color w:val="000000"/>
          <w:sz w:val="24"/>
        </w:rPr>
        <w:t>All eligible applicants will be considered for an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22.4(2)</w:t>
      </w:r>
      <w:r>
        <w:rPr>
          <w:rFonts w:ascii="Times New Roman" w:hAnsi="Times New Roman"/>
          <w:b w:val="false"/>
          <w:i w:val="false"/>
          <w:color w:val="000000"/>
          <w:sz w:val="24"/>
        </w:rPr>
        <w:t> </w:t>
      </w:r>
      <w:r>
        <w:rPr>
          <w:rFonts w:ascii="Times New Roman" w:hAnsi="Times New Roman"/>
          <w:b w:val="false"/>
          <w:i/>
          <w:color w:val="000000"/>
          <w:sz w:val="24"/>
        </w:rPr>
        <w:t xml:space="preserve">Extent of award and maximum award. </w:t>
      </w:r>
      <w:r>
        <w:rPr>
          <w:rFonts w:ascii="Times New Roman" w:hAnsi="Times New Roman"/>
          <w:b w:val="false"/>
          <w:i w:val="false"/>
          <w:color w:val="000000"/>
          <w:sz w:val="24"/>
        </w:rPr>
        <w:t>The maximum award will not exceed the cost of obtaining the endorsement.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22.4(3)</w:t>
      </w:r>
      <w:r>
        <w:rPr>
          <w:rFonts w:ascii="Times New Roman" w:hAnsi="Times New Roman"/>
          <w:b w:val="false"/>
          <w:i w:val="false"/>
          <w:color w:val="000000"/>
          <w:sz w:val="24"/>
        </w:rPr>
        <w:t> </w:t>
      </w:r>
      <w:r>
        <w:rPr>
          <w:rFonts w:ascii="Times New Roman" w:hAnsi="Times New Roman"/>
          <w:b w:val="false"/>
          <w:i/>
          <w:color w:val="000000"/>
          <w:sz w:val="24"/>
        </w:rPr>
        <w:t xml:space="preserve">Priority for awards. </w:t>
      </w:r>
      <w:r>
        <w:rPr>
          <w:rFonts w:ascii="Times New Roman" w:hAnsi="Times New Roman"/>
          <w:b w:val="false"/>
          <w:i w:val="false"/>
          <w:color w:val="000000"/>
          <w:sz w:val="24"/>
        </w:rPr>
        <w:t>In the event that funds available are insufficient to provide maximum awards to all eligible applicants, awards are prioritized in the following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Eligible applicants who received an award in the prior academic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Eligible applicants who did not receive an award in the prior academic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22.4(4)</w:t>
      </w:r>
      <w:r>
        <w:rPr>
          <w:rFonts w:ascii="Times New Roman" w:hAnsi="Times New Roman"/>
          <w:b w:val="false"/>
          <w:i w:val="false"/>
          <w:color w:val="000000"/>
          <w:sz w:val="24"/>
        </w:rPr>
        <w:t> </w:t>
      </w:r>
      <w:r>
        <w:rPr>
          <w:rFonts w:ascii="Times New Roman" w:hAnsi="Times New Roman"/>
          <w:b w:val="false"/>
          <w:i/>
          <w:color w:val="000000"/>
          <w:sz w:val="24"/>
        </w:rPr>
        <w:t xml:space="preserve">Awarding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notice of the eligibility criteria and maximum award to participating eligible institutions annually to authorize awarding.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Eligible institutions will inform students applying for admission to the approved program of the availability of the advanced dyslexia endorsement grant.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designate eligible applicants for awards.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Eligible institutions will verify eligible applicants’ enrollment in the approved program following institutional verification of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periodically investigate and review compliance of eligible institutions participating in this program with the criteria established in this rule.</w:t>
      </w:r>
    </w:p>
    <w:p>
      <w:pPr>
        <w:spacing w:before="210" w:after="0" w:line="480"/>
        <w:ind w:left="120"/>
        <w:jc w:val="both"/>
      </w:pPr>
      <w:r>
        <w:rPr>
          <w:rFonts w:ascii="Times New Roman" w:hAnsi="Times New Roman"/>
          <w:b/>
          <w:i w:val="false"/>
          <w:color w:val="000000"/>
          <w:sz w:val="24"/>
        </w:rPr>
        <w:t>283—22.5</w:t>
      </w:r>
      <w:r>
        <w:rPr>
          <w:rFonts w:ascii="Times New Roman" w:hAnsi="Times New Roman"/>
          <w:b/>
          <w:i w:val="false"/>
          <w:color w:val="000000"/>
          <w:sz w:val="24"/>
        </w:rPr>
        <w:t xml:space="preserve">(261) </w:t>
      </w:r>
      <w:r>
        <w:rPr>
          <w:rFonts w:ascii="Times New Roman" w:hAnsi="Times New Roman"/>
          <w:b/>
          <w:i w:val="false"/>
          <w:color w:val="000000"/>
          <w:sz w:val="24"/>
        </w:rPr>
        <w:t xml:space="preserve">Institutional application process. </w:t>
      </w:r>
      <w:r>
        <w:rPr>
          <w:rFonts w:ascii="Times New Roman" w:hAnsi="Times New Roman"/>
          <w:b w:val="false"/>
          <w:i w:val="false"/>
          <w:color w:val="000000"/>
          <w:sz w:val="24"/>
        </w:rPr>
        <w:t>Following the first year of administration of the advanced dyslexia specialist endorsement grant by the department, an institution requesting to participate in the program will apply to the department using the department’s designated application prior to the deadline established by the department. An applicant institution will provide the department with documentation establishing the applicant institution’s eligibility as an institution that offers an approved program. Applicant institutions will submit the application and documentation establishing the applicant institution’s eligibility on or before the date established by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256.146</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rina.holck@iowa.gov" Type="http://schemas.openxmlformats.org/officeDocument/2006/relationships/hyperlink" Id="rId4"/>
    <Relationship TargetMode="External" Target="https://www.legis.iowa.gov/docs/ico/chapter/256.146.pdf" Type="http://schemas.openxmlformats.org/officeDocument/2006/relationships/hyperlink" Id="rId5"/>
    <Relationship TargetMode="External" Target="https://www.legis.iowa.gov/docs/ico/chapter/256.183.pdf" Type="http://schemas.openxmlformats.org/officeDocument/2006/relationships/hyperlink" Id="rId6"/>
    <Relationship TargetMode="External" Target="https://www.legis.iowa.gov/docs/ico/chapter/256.146.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co/chapter/256.14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